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612"/>
        <w:gridCol w:w="10188"/>
      </w:tblGrid>
      <w:tr w:rsidR="003708B0">
        <w:tc>
          <w:tcPr>
            <w:tcW w:w="720" w:type="dxa"/>
          </w:tcPr>
          <w:p w:rsidR="003708B0" w:rsidRDefault="003708B0">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80"/>
              <w:gridCol w:w="5040"/>
              <w:gridCol w:w="2160"/>
            </w:tblGrid>
            <w:tr w:rsidR="003708B0">
              <w:trPr>
                <w:trHeight w:val="1362"/>
              </w:trPr>
              <w:tc>
                <w:tcPr>
                  <w:tcW w:w="2880" w:type="dxa"/>
                  <w:tcBorders>
                    <w:top w:val="nil"/>
                    <w:left w:val="nil"/>
                    <w:bottom w:val="nil"/>
                    <w:right w:val="nil"/>
                  </w:tcBorders>
                  <w:tcMar>
                    <w:top w:w="0" w:type="dxa"/>
                    <w:left w:w="0" w:type="dxa"/>
                    <w:bottom w:w="0" w:type="dxa"/>
                    <w:right w:w="0" w:type="dxa"/>
                  </w:tcMar>
                </w:tcPr>
                <w:p w:rsidR="003708B0" w:rsidRDefault="000536C9">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3708B0" w:rsidRDefault="000536C9">
                  <w:pPr>
                    <w:spacing w:after="0" w:line="240" w:lineRule="auto"/>
                    <w:jc w:val="center"/>
                  </w:pPr>
                  <w:r>
                    <w:rPr>
                      <w:rFonts w:ascii="Tahoma" w:eastAsia="Tahoma" w:hAnsi="Tahoma"/>
                      <w:color w:val="000000"/>
                      <w:sz w:val="32"/>
                    </w:rPr>
                    <w:t>Development Services</w:t>
                  </w:r>
                </w:p>
                <w:p w:rsidR="003708B0" w:rsidRDefault="000536C9">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3708B0" w:rsidRDefault="000536C9">
                  <w:pPr>
                    <w:spacing w:after="0" w:line="240" w:lineRule="auto"/>
                    <w:jc w:val="right"/>
                  </w:pPr>
                  <w:hyperlink r:id="rId6" w:history="1">
                    <w:r>
                      <w:rPr>
                        <w:rFonts w:ascii="Tahoma" w:eastAsia="Tahoma" w:hAnsi="Tahoma"/>
                        <w:b/>
                        <w:color w:val="000000"/>
                        <w:sz w:val="18"/>
                        <w:u w:val="single"/>
                      </w:rPr>
                      <w:t>www.harnett.org</w:t>
                    </w:r>
                  </w:hyperlink>
                </w:p>
                <w:p w:rsidR="003708B0" w:rsidRDefault="000536C9">
                  <w:pPr>
                    <w:spacing w:after="0" w:line="240" w:lineRule="auto"/>
                    <w:jc w:val="right"/>
                  </w:pPr>
                  <w:r>
                    <w:rPr>
                      <w:rFonts w:ascii="Tahoma" w:eastAsia="Tahoma" w:hAnsi="Tahoma"/>
                      <w:color w:val="000000"/>
                    </w:rPr>
                    <w:t>PO Box 65</w:t>
                  </w:r>
                </w:p>
                <w:p w:rsidR="003708B0" w:rsidRDefault="000536C9">
                  <w:pPr>
                    <w:spacing w:after="0" w:line="240" w:lineRule="auto"/>
                    <w:jc w:val="right"/>
                  </w:pPr>
                  <w:r>
                    <w:rPr>
                      <w:rFonts w:ascii="Tahoma" w:eastAsia="Tahoma" w:hAnsi="Tahoma"/>
                      <w:color w:val="000000"/>
                      <w:sz w:val="18"/>
                    </w:rPr>
                    <w:t>108 E. Front St.</w:t>
                  </w:r>
                </w:p>
                <w:p w:rsidR="003708B0" w:rsidRDefault="000536C9">
                  <w:pPr>
                    <w:spacing w:after="0" w:line="240" w:lineRule="auto"/>
                    <w:jc w:val="right"/>
                  </w:pPr>
                  <w:r>
                    <w:rPr>
                      <w:rFonts w:ascii="Tahoma" w:eastAsia="Tahoma" w:hAnsi="Tahoma"/>
                      <w:color w:val="000000"/>
                      <w:sz w:val="18"/>
                    </w:rPr>
                    <w:t>Lillington, NC  27546</w:t>
                  </w:r>
                </w:p>
                <w:p w:rsidR="003708B0" w:rsidRDefault="000536C9">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3708B0" w:rsidRDefault="000536C9">
                  <w:pPr>
                    <w:spacing w:after="0" w:line="240" w:lineRule="auto"/>
                    <w:jc w:val="right"/>
                  </w:pPr>
                  <w:r>
                    <w:rPr>
                      <w:rFonts w:ascii="Tahoma" w:eastAsia="Tahoma" w:hAnsi="Tahoma"/>
                      <w:color w:val="000000"/>
                      <w:sz w:val="18"/>
                    </w:rPr>
                    <w:t>Fax: 910-814-6459</w:t>
                  </w:r>
                </w:p>
              </w:tc>
            </w:tr>
            <w:tr w:rsidR="000536C9" w:rsidTr="000536C9">
              <w:trPr>
                <w:trHeight w:val="282"/>
              </w:trPr>
              <w:tc>
                <w:tcPr>
                  <w:tcW w:w="2880" w:type="dxa"/>
                  <w:gridSpan w:val="3"/>
                  <w:tcBorders>
                    <w:top w:val="nil"/>
                    <w:left w:val="nil"/>
                    <w:bottom w:val="nil"/>
                    <w:right w:val="nil"/>
                  </w:tcBorders>
                  <w:tcMar>
                    <w:top w:w="39" w:type="dxa"/>
                    <w:left w:w="39" w:type="dxa"/>
                    <w:bottom w:w="39" w:type="dxa"/>
                    <w:right w:w="39" w:type="dxa"/>
                  </w:tcMar>
                </w:tcPr>
                <w:p w:rsidR="003708B0" w:rsidRPr="000536C9" w:rsidRDefault="000536C9">
                  <w:pPr>
                    <w:spacing w:after="0" w:line="240" w:lineRule="auto"/>
                    <w:jc w:val="center"/>
                    <w:rPr>
                      <w:color w:val="FF0000"/>
                    </w:rPr>
                  </w:pPr>
                  <w:r>
                    <w:rPr>
                      <w:rFonts w:ascii="Calibri" w:eastAsia="Calibri" w:hAnsi="Calibri"/>
                      <w:b/>
                      <w:color w:val="FF0000"/>
                      <w:sz w:val="32"/>
                    </w:rPr>
                    <w:t>Final N</w:t>
                  </w:r>
                  <w:r w:rsidRPr="000536C9">
                    <w:rPr>
                      <w:rFonts w:ascii="Calibri" w:eastAsia="Calibri" w:hAnsi="Calibri"/>
                      <w:b/>
                      <w:color w:val="FF0000"/>
                      <w:sz w:val="32"/>
                    </w:rPr>
                    <w:t>otice of Violation and Order</w:t>
                  </w:r>
                </w:p>
              </w:tc>
            </w:tr>
            <w:tr w:rsidR="000536C9" w:rsidTr="000536C9">
              <w:trPr>
                <w:trHeight w:val="1362"/>
              </w:trPr>
              <w:tc>
                <w:tcPr>
                  <w:tcW w:w="2880" w:type="dxa"/>
                  <w:gridSpan w:val="3"/>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color w:val="000000"/>
                      <w:sz w:val="22"/>
                    </w:rPr>
                    <w:t>September 19, 2019</w:t>
                  </w:r>
                </w:p>
                <w:p w:rsidR="003708B0" w:rsidRDefault="003708B0">
                  <w:pPr>
                    <w:spacing w:after="0" w:line="240" w:lineRule="auto"/>
                  </w:pPr>
                </w:p>
                <w:p w:rsidR="003708B0" w:rsidRDefault="003708B0">
                  <w:pPr>
                    <w:spacing w:after="0" w:line="240" w:lineRule="auto"/>
                  </w:pPr>
                </w:p>
                <w:p w:rsidR="003708B0" w:rsidRDefault="000536C9">
                  <w:pPr>
                    <w:spacing w:after="0" w:line="240" w:lineRule="auto"/>
                  </w:pPr>
                  <w:r>
                    <w:rPr>
                      <w:rFonts w:ascii="Calibri" w:eastAsia="Calibri" w:hAnsi="Calibri"/>
                      <w:color w:val="000000"/>
                      <w:sz w:val="22"/>
                    </w:rPr>
                    <w:t>MCGILL DANNY</w:t>
                  </w:r>
                </w:p>
                <w:p w:rsidR="003708B0" w:rsidRDefault="000536C9">
                  <w:pPr>
                    <w:spacing w:after="0" w:line="240" w:lineRule="auto"/>
                  </w:pPr>
                  <w:r>
                    <w:rPr>
                      <w:rFonts w:ascii="Calibri" w:eastAsia="Calibri" w:hAnsi="Calibri"/>
                      <w:color w:val="000000"/>
                      <w:sz w:val="22"/>
                    </w:rPr>
                    <w:t xml:space="preserve">2605 BYRDS MILL RD </w:t>
                  </w:r>
                </w:p>
                <w:p w:rsidR="003708B0" w:rsidRDefault="000536C9">
                  <w:pPr>
                    <w:spacing w:after="0" w:line="240" w:lineRule="auto"/>
                  </w:pPr>
                  <w:r>
                    <w:rPr>
                      <w:rFonts w:ascii="Calibri" w:eastAsia="Calibri" w:hAnsi="Calibri"/>
                      <w:color w:val="000000"/>
                      <w:sz w:val="22"/>
                    </w:rPr>
                    <w:t>ERWIN, NC 28339</w:t>
                  </w:r>
                </w:p>
                <w:p w:rsidR="003708B0" w:rsidRDefault="003708B0">
                  <w:pPr>
                    <w:spacing w:after="0" w:line="240" w:lineRule="auto"/>
                  </w:pPr>
                </w:p>
                <w:p w:rsidR="003708B0" w:rsidRDefault="003708B0">
                  <w:pPr>
                    <w:spacing w:after="0" w:line="240" w:lineRule="auto"/>
                  </w:pPr>
                </w:p>
              </w:tc>
            </w:tr>
            <w:tr w:rsidR="000536C9" w:rsidTr="000536C9">
              <w:trPr>
                <w:trHeight w:val="282"/>
              </w:trPr>
              <w:tc>
                <w:tcPr>
                  <w:tcW w:w="288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3708B0" w:rsidRDefault="003708B0">
            <w:pPr>
              <w:spacing w:after="0" w:line="240" w:lineRule="auto"/>
            </w:pPr>
          </w:p>
        </w:tc>
      </w:tr>
      <w:tr w:rsidR="003708B0">
        <w:tc>
          <w:tcPr>
            <w:tcW w:w="720" w:type="dxa"/>
          </w:tcPr>
          <w:p w:rsidR="003708B0" w:rsidRDefault="003708B0">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60"/>
              <w:gridCol w:w="4320"/>
            </w:tblGrid>
            <w:tr w:rsidR="003708B0">
              <w:trPr>
                <w:trHeight w:val="282"/>
              </w:trPr>
              <w:tc>
                <w:tcPr>
                  <w:tcW w:w="576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2605 BYRDS MILL RD</w:t>
                  </w:r>
                </w:p>
              </w:tc>
              <w:tc>
                <w:tcPr>
                  <w:tcW w:w="432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Parcel #:</w:t>
                  </w:r>
                  <w:r>
                    <w:rPr>
                      <w:rFonts w:ascii="Calibri" w:eastAsia="Calibri" w:hAnsi="Calibri"/>
                      <w:color w:val="000000"/>
                      <w:sz w:val="22"/>
                    </w:rPr>
                    <w:t xml:space="preserve"> 0586-12-0880.000</w:t>
                  </w:r>
                </w:p>
              </w:tc>
            </w:tr>
            <w:tr w:rsidR="003708B0">
              <w:trPr>
                <w:trHeight w:val="282"/>
              </w:trPr>
              <w:tc>
                <w:tcPr>
                  <w:tcW w:w="576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CEZO1907-0006</w:t>
                  </w:r>
                </w:p>
                <w:p w:rsidR="003708B0" w:rsidRDefault="003708B0">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- 2.01 acres (100.0%)</w:t>
                  </w:r>
                </w:p>
              </w:tc>
            </w:tr>
            <w:tr w:rsidR="000536C9" w:rsidTr="000536C9">
              <w:trPr>
                <w:trHeight w:val="282"/>
              </w:trPr>
              <w:tc>
                <w:tcPr>
                  <w:tcW w:w="5760" w:type="dxa"/>
                  <w:gridSpan w:val="2"/>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color w:val="000000"/>
                      <w:sz w:val="22"/>
                    </w:rPr>
                    <w:t xml:space="preserve">A site inspection was performed 9/19/2019, at the above referenced property, and identified one or more violations of the Harnett County Unified Development Ordinance.  You will find the violation information </w:t>
                  </w:r>
                  <w:r>
                    <w:rPr>
                      <w:rFonts w:ascii="Calibri" w:eastAsia="Calibri" w:hAnsi="Calibri"/>
                      <w:color w:val="000000"/>
                      <w:sz w:val="22"/>
                    </w:rPr>
                    <w:t>listed below.</w:t>
                  </w:r>
                </w:p>
                <w:p w:rsidR="003708B0" w:rsidRDefault="003708B0">
                  <w:pPr>
                    <w:spacing w:after="0" w:line="240" w:lineRule="auto"/>
                  </w:pPr>
                </w:p>
              </w:tc>
            </w:tr>
          </w:tbl>
          <w:p w:rsidR="003708B0" w:rsidRDefault="003708B0">
            <w:pPr>
              <w:spacing w:after="0" w:line="240" w:lineRule="auto"/>
            </w:pPr>
          </w:p>
        </w:tc>
      </w:tr>
      <w:tr w:rsidR="003708B0">
        <w:tc>
          <w:tcPr>
            <w:tcW w:w="720" w:type="dxa"/>
          </w:tcPr>
          <w:p w:rsidR="003708B0" w:rsidRDefault="003708B0">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88"/>
            </w:tblGrid>
            <w:tr w:rsidR="003708B0">
              <w:trPr>
                <w:trHeight w:val="282"/>
              </w:trPr>
              <w:tc>
                <w:tcPr>
                  <w:tcW w:w="1008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ABADNDONED MANUFACTURED HOME</w:t>
                  </w:r>
                </w:p>
              </w:tc>
            </w:tr>
            <w:tr w:rsidR="003708B0">
              <w:trPr>
                <w:trHeight w:val="360"/>
              </w:trPr>
              <w:tc>
                <w:tcPr>
                  <w:tcW w:w="10080" w:type="dxa"/>
                  <w:tcBorders>
                    <w:top w:val="nil"/>
                    <w:left w:val="nil"/>
                    <w:bottom w:val="nil"/>
                    <w:right w:val="nil"/>
                  </w:tcBorders>
                  <w:tcMar>
                    <w:top w:w="0" w:type="dxa"/>
                    <w:left w:w="0" w:type="dxa"/>
                    <w:bottom w:w="0" w:type="dxa"/>
                    <w:right w:w="0" w:type="dxa"/>
                  </w:tcMar>
                </w:tcPr>
                <w:tbl>
                  <w:tblPr>
                    <w:tblW w:w="10188" w:type="dxa"/>
                    <w:tblBorders>
                      <w:top w:val="nil"/>
                      <w:left w:val="nil"/>
                      <w:bottom w:val="nil"/>
                      <w:right w:val="nil"/>
                    </w:tblBorders>
                    <w:tblCellMar>
                      <w:left w:w="0" w:type="dxa"/>
                      <w:right w:w="0" w:type="dxa"/>
                    </w:tblCellMar>
                    <w:tblLook w:val="0000" w:firstRow="0" w:lastRow="0" w:firstColumn="0" w:lastColumn="0" w:noHBand="0" w:noVBand="0"/>
                  </w:tblPr>
                  <w:tblGrid>
                    <w:gridCol w:w="10090"/>
                    <w:gridCol w:w="98"/>
                  </w:tblGrid>
                  <w:tr w:rsidR="003708B0" w:rsidTr="000536C9">
                    <w:trPr>
                      <w:trHeight w:val="193"/>
                    </w:trPr>
                    <w:tc>
                      <w:tcPr>
                        <w:tcW w:w="1009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bookmarkStart w:id="0" w:name="_GoBack"/>
                        <w:r>
                          <w:rPr>
                            <w:rFonts w:ascii="Calibri" w:eastAsia="Calibri" w:hAnsi="Calibri"/>
                            <w:b/>
                            <w:color w:val="000000"/>
                            <w:sz w:val="22"/>
                          </w:rPr>
                          <w:t xml:space="preserve">Compliance Measures:  </w:t>
                        </w:r>
                        <w:r>
                          <w:rPr>
                            <w:rFonts w:ascii="Calibri" w:eastAsia="Calibri" w:hAnsi="Calibri"/>
                            <w:color w:val="000000"/>
                            <w:sz w:val="22"/>
                          </w:rPr>
                          <w:t>Home must be properly permitted and set up and/or properly removed from the property.</w:t>
                        </w:r>
                        <w:r>
                          <w:rPr>
                            <w:rFonts w:ascii="Calibri" w:eastAsia="Calibri" w:hAnsi="Calibri"/>
                            <w:b/>
                            <w:color w:val="000000"/>
                            <w:sz w:val="22"/>
                          </w:rPr>
                          <w:t xml:space="preserve"> </w:t>
                        </w:r>
                      </w:p>
                    </w:tc>
                    <w:tc>
                      <w:tcPr>
                        <w:tcW w:w="98" w:type="dxa"/>
                        <w:tcBorders>
                          <w:top w:val="nil"/>
                          <w:left w:val="nil"/>
                          <w:bottom w:val="nil"/>
                          <w:right w:val="nil"/>
                        </w:tcBorders>
                        <w:tcMar>
                          <w:top w:w="39" w:type="dxa"/>
                          <w:left w:w="39" w:type="dxa"/>
                          <w:bottom w:w="39" w:type="dxa"/>
                          <w:right w:w="39" w:type="dxa"/>
                        </w:tcMar>
                      </w:tcPr>
                      <w:p w:rsidR="003708B0" w:rsidRDefault="003708B0">
                        <w:pPr>
                          <w:spacing w:after="0" w:line="240" w:lineRule="auto"/>
                        </w:pPr>
                      </w:p>
                    </w:tc>
                  </w:tr>
                  <w:bookmarkEnd w:id="0"/>
                </w:tbl>
                <w:p w:rsidR="003708B0" w:rsidRDefault="003708B0">
                  <w:pPr>
                    <w:spacing w:after="0" w:line="240" w:lineRule="auto"/>
                  </w:pPr>
                </w:p>
              </w:tc>
            </w:tr>
            <w:tr w:rsidR="003708B0">
              <w:trPr>
                <w:trHeight w:val="498"/>
              </w:trPr>
              <w:tc>
                <w:tcPr>
                  <w:tcW w:w="10080"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10/7/2019</w:t>
                  </w:r>
                </w:p>
              </w:tc>
            </w:tr>
          </w:tbl>
          <w:p w:rsidR="003708B0" w:rsidRDefault="003708B0">
            <w:pPr>
              <w:spacing w:after="0" w:line="240" w:lineRule="auto"/>
            </w:pPr>
          </w:p>
        </w:tc>
      </w:tr>
      <w:tr w:rsidR="003708B0">
        <w:tc>
          <w:tcPr>
            <w:tcW w:w="720" w:type="dxa"/>
          </w:tcPr>
          <w:p w:rsidR="003708B0" w:rsidRDefault="003708B0">
            <w:pPr>
              <w:pStyle w:val="EmptyCellLayoutStyle"/>
              <w:spacing w:after="0" w:line="240" w:lineRule="auto"/>
            </w:pPr>
          </w:p>
        </w:tc>
        <w:tc>
          <w:tcPr>
            <w:tcW w:w="10080" w:type="dxa"/>
          </w:tcPr>
          <w:tbl>
            <w:tblPr>
              <w:tblW w:w="10176" w:type="dxa"/>
              <w:tblBorders>
                <w:top w:val="nil"/>
                <w:left w:val="nil"/>
                <w:bottom w:val="nil"/>
                <w:right w:val="nil"/>
              </w:tblBorders>
              <w:tblCellMar>
                <w:left w:w="0" w:type="dxa"/>
                <w:right w:w="0" w:type="dxa"/>
              </w:tblCellMar>
              <w:tblLook w:val="0000" w:firstRow="0" w:lastRow="0" w:firstColumn="0" w:lastColumn="0" w:noHBand="0" w:noVBand="0"/>
            </w:tblPr>
            <w:tblGrid>
              <w:gridCol w:w="10176"/>
            </w:tblGrid>
            <w:tr w:rsidR="003708B0" w:rsidTr="000536C9">
              <w:trPr>
                <w:trHeight w:val="1488"/>
              </w:trPr>
              <w:tc>
                <w:tcPr>
                  <w:tcW w:w="10176" w:type="dxa"/>
                  <w:tcBorders>
                    <w:top w:val="nil"/>
                    <w:left w:val="nil"/>
                    <w:bottom w:val="nil"/>
                    <w:right w:val="nil"/>
                  </w:tcBorders>
                  <w:tcMar>
                    <w:top w:w="39" w:type="dxa"/>
                    <w:left w:w="39" w:type="dxa"/>
                    <w:bottom w:w="39" w:type="dxa"/>
                    <w:right w:w="39" w:type="dxa"/>
                  </w:tcMar>
                </w:tcPr>
                <w:p w:rsidR="003708B0" w:rsidRDefault="000536C9">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3708B0" w:rsidRDefault="003708B0">
                  <w:pPr>
                    <w:spacing w:after="0" w:line="240" w:lineRule="auto"/>
                  </w:pPr>
                </w:p>
                <w:p w:rsidR="003708B0" w:rsidRDefault="000536C9">
                  <w:pPr>
                    <w:spacing w:after="0" w:line="240" w:lineRule="auto"/>
                  </w:pPr>
                  <w:r>
                    <w:rPr>
                      <w:rFonts w:ascii="Calibri" w:eastAsia="Calibri" w:hAnsi="Calibri"/>
                      <w:color w:val="000000"/>
                      <w:sz w:val="22"/>
                    </w:rPr>
                    <w:t>Sincerely,</w:t>
                  </w:r>
                </w:p>
                <w:p w:rsidR="003708B0" w:rsidRDefault="003708B0">
                  <w:pPr>
                    <w:spacing w:after="0" w:line="240" w:lineRule="auto"/>
                  </w:pPr>
                </w:p>
                <w:p w:rsidR="003708B0" w:rsidRDefault="003708B0">
                  <w:pPr>
                    <w:spacing w:after="0" w:line="240" w:lineRule="auto"/>
                  </w:pPr>
                </w:p>
                <w:p w:rsidR="003708B0" w:rsidRDefault="000536C9">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3708B0" w:rsidRDefault="003708B0">
                  <w:pPr>
                    <w:spacing w:after="0" w:line="240" w:lineRule="auto"/>
                  </w:pPr>
                </w:p>
              </w:tc>
            </w:tr>
          </w:tbl>
          <w:p w:rsidR="003708B0" w:rsidRDefault="003708B0">
            <w:pPr>
              <w:spacing w:after="0" w:line="240" w:lineRule="auto"/>
            </w:pPr>
          </w:p>
        </w:tc>
      </w:tr>
    </w:tbl>
    <w:p w:rsidR="003708B0" w:rsidRDefault="003708B0">
      <w:pPr>
        <w:spacing w:after="0" w:line="240" w:lineRule="auto"/>
      </w:pPr>
    </w:p>
    <w:sectPr w:rsidR="003708B0">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B0"/>
    <w:rsid w:val="000536C9"/>
    <w:rsid w:val="0037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A911"/>
  <w15:docId w15:val="{26468453-B046-4FCF-B803-1F97D572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2019-09-19T15:59:00Z</dcterms:created>
  <dcterms:modified xsi:type="dcterms:W3CDTF">2019-09-19T15:59:00Z</dcterms:modified>
</cp:coreProperties>
</file>