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40277A">
              <w:trPr>
                <w:trHeight w:val="1362"/>
              </w:trPr>
              <w:tc>
                <w:tcPr>
                  <w:tcW w:w="2880" w:type="dxa"/>
                  <w:tcBorders>
                    <w:top w:val="nil"/>
                    <w:left w:val="nil"/>
                    <w:bottom w:val="nil"/>
                    <w:right w:val="nil"/>
                  </w:tcBorders>
                  <w:tcMar>
                    <w:top w:w="0" w:type="dxa"/>
                    <w:left w:w="0" w:type="dxa"/>
                    <w:bottom w:w="0" w:type="dxa"/>
                    <w:right w:w="0" w:type="dxa"/>
                  </w:tcMar>
                </w:tcPr>
                <w:p w:rsidR="0040277A" w:rsidRDefault="00144EE9">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40277A" w:rsidRDefault="00144EE9">
                  <w:pPr>
                    <w:spacing w:after="0" w:line="240" w:lineRule="auto"/>
                    <w:jc w:val="center"/>
                  </w:pPr>
                  <w:r>
                    <w:rPr>
                      <w:rFonts w:ascii="Tahoma" w:eastAsia="Tahoma" w:hAnsi="Tahoma"/>
                      <w:color w:val="000000"/>
                      <w:sz w:val="32"/>
                    </w:rPr>
                    <w:t>Development Services</w:t>
                  </w:r>
                </w:p>
                <w:p w:rsidR="0040277A" w:rsidRDefault="00144EE9">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jc w:val="right"/>
                  </w:pPr>
                  <w:hyperlink r:id="rId6" w:history="1">
                    <w:r>
                      <w:rPr>
                        <w:rFonts w:ascii="Tahoma" w:eastAsia="Tahoma" w:hAnsi="Tahoma"/>
                        <w:b/>
                        <w:color w:val="000000"/>
                        <w:sz w:val="18"/>
                        <w:u w:val="single"/>
                      </w:rPr>
                      <w:t>www.harnett.org</w:t>
                    </w:r>
                  </w:hyperlink>
                </w:p>
                <w:p w:rsidR="0040277A" w:rsidRDefault="00144EE9">
                  <w:pPr>
                    <w:spacing w:after="0" w:line="240" w:lineRule="auto"/>
                    <w:jc w:val="right"/>
                  </w:pPr>
                  <w:r>
                    <w:rPr>
                      <w:rFonts w:ascii="Tahoma" w:eastAsia="Tahoma" w:hAnsi="Tahoma"/>
                      <w:color w:val="000000"/>
                    </w:rPr>
                    <w:t>PO Box 65</w:t>
                  </w:r>
                </w:p>
                <w:p w:rsidR="0040277A" w:rsidRDefault="00144EE9">
                  <w:pPr>
                    <w:spacing w:after="0" w:line="240" w:lineRule="auto"/>
                    <w:jc w:val="right"/>
                  </w:pPr>
                  <w:r>
                    <w:rPr>
                      <w:rFonts w:ascii="Tahoma" w:eastAsia="Tahoma" w:hAnsi="Tahoma"/>
                      <w:color w:val="000000"/>
                      <w:sz w:val="18"/>
                    </w:rPr>
                    <w:t>108 E. Front St.</w:t>
                  </w:r>
                </w:p>
                <w:p w:rsidR="0040277A" w:rsidRDefault="00144EE9">
                  <w:pPr>
                    <w:spacing w:after="0" w:line="240" w:lineRule="auto"/>
                    <w:jc w:val="right"/>
                  </w:pPr>
                  <w:r>
                    <w:rPr>
                      <w:rFonts w:ascii="Tahoma" w:eastAsia="Tahoma" w:hAnsi="Tahoma"/>
                      <w:color w:val="000000"/>
                      <w:sz w:val="18"/>
                    </w:rPr>
                    <w:t>Lillington, NC  27546</w:t>
                  </w:r>
                </w:p>
                <w:p w:rsidR="0040277A" w:rsidRDefault="00144EE9">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40277A" w:rsidRDefault="00144EE9">
                  <w:pPr>
                    <w:spacing w:after="0" w:line="240" w:lineRule="auto"/>
                    <w:jc w:val="right"/>
                  </w:pPr>
                  <w:r>
                    <w:rPr>
                      <w:rFonts w:ascii="Tahoma" w:eastAsia="Tahoma" w:hAnsi="Tahoma"/>
                      <w:color w:val="000000"/>
                      <w:sz w:val="18"/>
                    </w:rPr>
                    <w:t>Fax: 910-814-6459</w:t>
                  </w:r>
                </w:p>
              </w:tc>
            </w:tr>
            <w:tr w:rsidR="00144EE9" w:rsidTr="00144EE9">
              <w:trPr>
                <w:trHeight w:val="282"/>
              </w:trPr>
              <w:tc>
                <w:tcPr>
                  <w:tcW w:w="2880" w:type="dxa"/>
                  <w:gridSpan w:val="3"/>
                  <w:tcBorders>
                    <w:top w:val="nil"/>
                    <w:left w:val="nil"/>
                    <w:bottom w:val="nil"/>
                    <w:right w:val="nil"/>
                  </w:tcBorders>
                  <w:tcMar>
                    <w:top w:w="39" w:type="dxa"/>
                    <w:left w:w="39" w:type="dxa"/>
                    <w:bottom w:w="39" w:type="dxa"/>
                    <w:right w:w="39" w:type="dxa"/>
                  </w:tcMar>
                </w:tcPr>
                <w:p w:rsidR="0040277A" w:rsidRDefault="00144EE9">
                  <w:pPr>
                    <w:spacing w:after="0" w:line="240" w:lineRule="auto"/>
                    <w:jc w:val="center"/>
                  </w:pPr>
                  <w:r>
                    <w:rPr>
                      <w:rFonts w:ascii="Calibri" w:eastAsia="Calibri" w:hAnsi="Calibri"/>
                      <w:b/>
                      <w:color w:val="000000"/>
                      <w:sz w:val="32"/>
                    </w:rPr>
                    <w:t>Notice of Violation and Order</w:t>
                  </w:r>
                </w:p>
              </w:tc>
            </w:tr>
            <w:tr w:rsidR="00144EE9" w:rsidTr="00144EE9">
              <w:trPr>
                <w:trHeight w:val="1362"/>
              </w:trPr>
              <w:tc>
                <w:tcPr>
                  <w:tcW w:w="2880" w:type="dxa"/>
                  <w:gridSpan w:val="3"/>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color w:val="000000"/>
                      <w:sz w:val="22"/>
                    </w:rPr>
                    <w:t>January 28, 2019</w:t>
                  </w:r>
                </w:p>
                <w:p w:rsidR="0040277A" w:rsidRDefault="0040277A">
                  <w:pPr>
                    <w:spacing w:after="0" w:line="240" w:lineRule="auto"/>
                  </w:pPr>
                </w:p>
                <w:p w:rsidR="0040277A" w:rsidRDefault="0040277A">
                  <w:pPr>
                    <w:spacing w:after="0" w:line="240" w:lineRule="auto"/>
                  </w:pPr>
                </w:p>
                <w:p w:rsidR="0040277A" w:rsidRDefault="00144EE9">
                  <w:pPr>
                    <w:spacing w:after="0" w:line="240" w:lineRule="auto"/>
                  </w:pPr>
                  <w:r>
                    <w:rPr>
                      <w:rFonts w:ascii="Calibri" w:eastAsia="Calibri" w:hAnsi="Calibri"/>
                      <w:color w:val="000000"/>
                      <w:sz w:val="22"/>
                    </w:rPr>
                    <w:t>RICKY DEAN KELLAM</w:t>
                  </w:r>
                </w:p>
                <w:p w:rsidR="0040277A" w:rsidRDefault="00144EE9">
                  <w:pPr>
                    <w:spacing w:after="0" w:line="240" w:lineRule="auto"/>
                  </w:pPr>
                  <w:r>
                    <w:rPr>
                      <w:rFonts w:ascii="Calibri" w:eastAsia="Calibri" w:hAnsi="Calibri"/>
                      <w:color w:val="000000"/>
                      <w:sz w:val="22"/>
                    </w:rPr>
                    <w:t>PO BOX 333</w:t>
                  </w:r>
                </w:p>
                <w:p w:rsidR="0040277A" w:rsidRDefault="00144EE9">
                  <w:pPr>
                    <w:spacing w:after="0" w:line="240" w:lineRule="auto"/>
                  </w:pPr>
                  <w:r>
                    <w:rPr>
                      <w:rFonts w:ascii="Calibri" w:eastAsia="Calibri" w:hAnsi="Calibri"/>
                      <w:color w:val="000000"/>
                      <w:sz w:val="22"/>
                    </w:rPr>
                    <w:t>OLIVIA, NC 28368-0000</w:t>
                  </w:r>
                </w:p>
                <w:p w:rsidR="0040277A" w:rsidRDefault="0040277A">
                  <w:pPr>
                    <w:spacing w:after="0" w:line="240" w:lineRule="auto"/>
                  </w:pPr>
                </w:p>
                <w:p w:rsidR="0040277A" w:rsidRDefault="0040277A">
                  <w:pPr>
                    <w:spacing w:after="0" w:line="240" w:lineRule="auto"/>
                  </w:pPr>
                </w:p>
              </w:tc>
            </w:tr>
            <w:tr w:rsidR="00144EE9" w:rsidTr="00144EE9">
              <w:trPr>
                <w:trHeight w:val="282"/>
              </w:trPr>
              <w:tc>
                <w:tcPr>
                  <w:tcW w:w="28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40277A">
              <w:trPr>
                <w:trHeight w:val="282"/>
              </w:trPr>
              <w:tc>
                <w:tcPr>
                  <w:tcW w:w="57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4641 PONDEROSA RD</w:t>
                  </w:r>
                </w:p>
              </w:tc>
              <w:tc>
                <w:tcPr>
                  <w:tcW w:w="432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9567-39-7856.000</w:t>
                  </w:r>
                </w:p>
              </w:tc>
            </w:tr>
            <w:tr w:rsidR="0040277A">
              <w:trPr>
                <w:trHeight w:val="282"/>
              </w:trPr>
              <w:tc>
                <w:tcPr>
                  <w:tcW w:w="57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CEZO1901-0007</w:t>
                  </w:r>
                </w:p>
                <w:p w:rsidR="0040277A" w:rsidRDefault="0040277A">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- 8.41 acres (100.0%)</w:t>
                  </w:r>
                </w:p>
              </w:tc>
            </w:tr>
            <w:tr w:rsidR="00144EE9" w:rsidTr="00144EE9">
              <w:trPr>
                <w:trHeight w:val="282"/>
              </w:trPr>
              <w:tc>
                <w:tcPr>
                  <w:tcW w:w="5760" w:type="dxa"/>
                  <w:gridSpan w:val="2"/>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color w:val="000000"/>
                      <w:sz w:val="22"/>
                    </w:rPr>
                    <w:t>A site inspection was performed 1/15/2019,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40277A" w:rsidRDefault="0040277A">
                  <w:pPr>
                    <w:spacing w:after="0" w:line="240" w:lineRule="auto"/>
                  </w:pPr>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40277A">
              <w:trPr>
                <w:trHeight w:val="282"/>
              </w:trPr>
              <w:tc>
                <w:tcPr>
                  <w:tcW w:w="100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REQUIREMENTS</w:t>
                  </w:r>
                </w:p>
              </w:tc>
            </w:tr>
            <w:tr w:rsidR="0040277A">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40277A">
                    <w:trPr>
                      <w:trHeight w:val="282"/>
                    </w:trPr>
                    <w:tc>
                      <w:tcPr>
                        <w:tcW w:w="22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40277A" w:rsidRDefault="00144EE9">
                        <w:pPr>
                          <w:spacing w:after="0" w:line="240" w:lineRule="auto"/>
                          <w:rPr>
                            <w:rFonts w:ascii="Calibri" w:eastAsia="Calibri" w:hAnsi="Calibri"/>
                            <w:color w:val="000000"/>
                            <w:sz w:val="22"/>
                          </w:rPr>
                        </w:pPr>
                        <w:r>
                          <w:rPr>
                            <w:rFonts w:ascii="Calibri" w:eastAsia="Calibri" w:hAnsi="Calibri"/>
                            <w:color w:val="000000"/>
                            <w:sz w:val="22"/>
                          </w:rPr>
                          <w:t xml:space="preserve">Article V.  Section 11.0 Other Uses.  Subsection 11.5.  Junkyard Requirements.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Supplement buffer as required by the Harnett County Unified Development Ordinance and as discussed on site.  </w:t>
                        </w:r>
                      </w:p>
                      <w:p w:rsidR="00144EE9" w:rsidRDefault="00144EE9">
                        <w:pPr>
                          <w:spacing w:after="0" w:line="240" w:lineRule="auto"/>
                        </w:pPr>
                      </w:p>
                    </w:tc>
                  </w:tr>
                </w:tbl>
                <w:p w:rsidR="0040277A" w:rsidRDefault="0040277A">
                  <w:pPr>
                    <w:spacing w:after="0" w:line="240" w:lineRule="auto"/>
                  </w:pPr>
                </w:p>
              </w:tc>
            </w:tr>
            <w:tr w:rsidR="0040277A">
              <w:trPr>
                <w:trHeight w:val="498"/>
              </w:trPr>
              <w:tc>
                <w:tcPr>
                  <w:tcW w:w="100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6/28/2019</w:t>
                  </w:r>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40277A">
              <w:trPr>
                <w:trHeight w:val="1362"/>
              </w:trPr>
              <w:tc>
                <w:tcPr>
                  <w:tcW w:w="100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40277A" w:rsidRDefault="0040277A">
                  <w:pPr>
                    <w:spacing w:after="0" w:line="240" w:lineRule="auto"/>
                  </w:pPr>
                </w:p>
                <w:p w:rsidR="0040277A" w:rsidRDefault="00144EE9">
                  <w:pPr>
                    <w:spacing w:after="0" w:line="240" w:lineRule="auto"/>
                  </w:pPr>
                  <w:r>
                    <w:rPr>
                      <w:rFonts w:ascii="Calibri" w:eastAsia="Calibri" w:hAnsi="Calibri"/>
                      <w:color w:val="000000"/>
                      <w:sz w:val="22"/>
                    </w:rPr>
                    <w:t>Sincerely,</w:t>
                  </w:r>
                </w:p>
                <w:p w:rsidR="0040277A" w:rsidRDefault="0040277A">
                  <w:pPr>
                    <w:spacing w:after="0" w:line="240" w:lineRule="auto"/>
                  </w:pPr>
                </w:p>
                <w:p w:rsidR="0040277A" w:rsidRPr="00144EE9" w:rsidRDefault="00144EE9">
                  <w:pPr>
                    <w:spacing w:after="0" w:line="240" w:lineRule="auto"/>
                    <w:rPr>
                      <w:rFonts w:ascii="Script MT Bold" w:hAnsi="Script MT Bold"/>
                      <w:sz w:val="24"/>
                      <w:szCs w:val="24"/>
                    </w:rPr>
                  </w:pPr>
                  <w:r>
                    <w:rPr>
                      <w:rFonts w:ascii="Script MT Bold" w:hAnsi="Script MT Bold"/>
                      <w:sz w:val="24"/>
                      <w:szCs w:val="24"/>
                    </w:rPr>
                    <w:t>Amy D. Driggers</w:t>
                  </w:r>
                </w:p>
                <w:p w:rsidR="00144EE9" w:rsidRDefault="00144EE9">
                  <w:pPr>
                    <w:spacing w:after="0" w:line="240" w:lineRule="auto"/>
                    <w:rPr>
                      <w:rFonts w:ascii="Calibri" w:eastAsia="Calibri" w:hAnsi="Calibri"/>
                      <w:color w:val="000000"/>
                      <w:sz w:val="22"/>
                    </w:rPr>
                  </w:pPr>
                </w:p>
                <w:p w:rsidR="0040277A" w:rsidRDefault="00144EE9">
                  <w:pPr>
                    <w:spacing w:after="0" w:line="240" w:lineRule="auto"/>
                  </w:pPr>
                  <w:r>
                    <w:rPr>
                      <w:rFonts w:ascii="Calibri" w:eastAsia="Calibri" w:hAnsi="Calibri"/>
                      <w:color w:val="000000"/>
                      <w:sz w:val="22"/>
                    </w:rPr>
                    <w:t>Amy Drigge</w:t>
                  </w:r>
                  <w:r>
                    <w:rPr>
                      <w:rFonts w:ascii="Calibri" w:eastAsia="Calibri" w:hAnsi="Calibri"/>
                      <w:color w:val="000000"/>
                      <w:sz w:val="22"/>
                    </w:rPr>
                    <w:t>rs, CZO</w:t>
                  </w:r>
                  <w:bookmarkStart w:id="0" w:name="_GoBack"/>
                  <w:bookmarkEnd w:id="0"/>
                </w:p>
              </w:tc>
            </w:tr>
          </w:tbl>
          <w:p w:rsidR="0040277A" w:rsidRDefault="0040277A">
            <w:pPr>
              <w:spacing w:after="0" w:line="240" w:lineRule="auto"/>
            </w:pPr>
          </w:p>
        </w:tc>
      </w:tr>
    </w:tbl>
    <w:p w:rsidR="0040277A" w:rsidRDefault="0040277A">
      <w:pPr>
        <w:spacing w:after="0" w:line="240" w:lineRule="auto"/>
      </w:pPr>
    </w:p>
    <w:sectPr w:rsidR="0040277A">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7A"/>
    <w:rsid w:val="00144EE9"/>
    <w:rsid w:val="0040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274B"/>
  <w15:docId w15:val="{626524C5-675B-4780-8D88-459DB31A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2019-01-28T15:02:00Z</dcterms:created>
  <dcterms:modified xsi:type="dcterms:W3CDTF">2019-01-28T15:02:00Z</dcterms:modified>
</cp:coreProperties>
</file>