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D3C3" w14:textId="015BE578" w:rsidR="00047655" w:rsidRPr="00C73461" w:rsidRDefault="00E00E00" w:rsidP="000D769C">
      <w:pPr>
        <w:ind w:firstLine="720"/>
        <w:jc w:val="both"/>
        <w:rPr>
          <w:rFonts w:ascii="Book Antiqua" w:hAnsi="Book Antiqua"/>
          <w:sz w:val="23"/>
          <w:szCs w:val="23"/>
        </w:rPr>
      </w:pPr>
      <w:r w:rsidRPr="00C73461">
        <w:rPr>
          <w:rFonts w:ascii="Book Antiqua" w:hAnsi="Book Antiqua"/>
          <w:sz w:val="23"/>
          <w:szCs w:val="23"/>
        </w:rPr>
        <w:t xml:space="preserve">As you know, I am a representative of </w:t>
      </w:r>
      <w:r w:rsidR="00CB7143">
        <w:rPr>
          <w:rFonts w:ascii="Book Antiqua" w:hAnsi="Book Antiqua"/>
          <w:sz w:val="23"/>
          <w:szCs w:val="23"/>
        </w:rPr>
        <w:t>Interstate Outdoor, Inc</w:t>
      </w:r>
      <w:r w:rsidRPr="00C73461">
        <w:rPr>
          <w:rFonts w:ascii="Book Antiqua" w:hAnsi="Book Antiqua"/>
          <w:sz w:val="23"/>
          <w:szCs w:val="23"/>
        </w:rPr>
        <w:t xml:space="preserve">.  </w:t>
      </w:r>
      <w:r w:rsidR="00CB7143">
        <w:rPr>
          <w:rFonts w:ascii="Book Antiqua" w:hAnsi="Book Antiqua"/>
          <w:sz w:val="23"/>
          <w:szCs w:val="23"/>
        </w:rPr>
        <w:t xml:space="preserve">(“Interstate”). </w:t>
      </w:r>
      <w:r w:rsidRPr="00C73461">
        <w:rPr>
          <w:rFonts w:ascii="Book Antiqua" w:hAnsi="Book Antiqua"/>
          <w:sz w:val="23"/>
          <w:szCs w:val="23"/>
        </w:rPr>
        <w:t xml:space="preserve">As you also know, </w:t>
      </w:r>
      <w:r w:rsidR="00CB7143">
        <w:rPr>
          <w:rFonts w:ascii="Book Antiqua" w:hAnsi="Book Antiqua"/>
          <w:sz w:val="23"/>
          <w:szCs w:val="23"/>
        </w:rPr>
        <w:t>Interstate</w:t>
      </w:r>
      <w:r w:rsidRPr="00C73461">
        <w:rPr>
          <w:rFonts w:ascii="Book Antiqua" w:hAnsi="Book Antiqua"/>
          <w:sz w:val="23"/>
          <w:szCs w:val="23"/>
        </w:rPr>
        <w:t xml:space="preserve"> intends to reconstruct its existing outdoor advertising sign or billboard located </w:t>
      </w:r>
      <w:r w:rsidR="006E124F">
        <w:rPr>
          <w:rFonts w:ascii="Book Antiqua" w:hAnsi="Book Antiqua"/>
          <w:sz w:val="23"/>
          <w:szCs w:val="23"/>
        </w:rPr>
        <w:t>o</w:t>
      </w:r>
      <w:r w:rsidR="00D65E88">
        <w:rPr>
          <w:rFonts w:ascii="Book Antiqua" w:hAnsi="Book Antiqua"/>
          <w:sz w:val="23"/>
          <w:szCs w:val="23"/>
        </w:rPr>
        <w:t>n Highway 421 and Highway 27</w:t>
      </w:r>
      <w:r w:rsidRPr="00C73461">
        <w:rPr>
          <w:rFonts w:ascii="Book Antiqua" w:hAnsi="Book Antiqua"/>
          <w:sz w:val="23"/>
          <w:szCs w:val="23"/>
          <w:u w:val="single"/>
        </w:rPr>
        <w:t>.</w:t>
      </w:r>
      <w:r w:rsidRPr="00C73461">
        <w:rPr>
          <w:rFonts w:ascii="Book Antiqua" w:hAnsi="Book Antiqua"/>
          <w:sz w:val="23"/>
          <w:szCs w:val="23"/>
        </w:rPr>
        <w:t xml:space="preserve">  </w:t>
      </w:r>
    </w:p>
    <w:p w14:paraId="5A74BB0E" w14:textId="302823E2" w:rsidR="00E00E00" w:rsidRDefault="00CB7143" w:rsidP="00E00E00">
      <w:pPr>
        <w:ind w:firstLine="720"/>
        <w:jc w:val="both"/>
        <w:rPr>
          <w:rFonts w:ascii="Book Antiqua" w:hAnsi="Book Antiqua"/>
          <w:sz w:val="23"/>
          <w:szCs w:val="23"/>
        </w:rPr>
      </w:pPr>
      <w:r>
        <w:rPr>
          <w:rFonts w:ascii="Book Antiqua" w:hAnsi="Book Antiqua"/>
          <w:sz w:val="23"/>
          <w:szCs w:val="23"/>
        </w:rPr>
        <w:t>Interstate</w:t>
      </w:r>
      <w:r w:rsidR="00E00E00" w:rsidRPr="00992688">
        <w:rPr>
          <w:rFonts w:ascii="Book Antiqua" w:hAnsi="Book Antiqua"/>
          <w:sz w:val="23"/>
          <w:szCs w:val="23"/>
        </w:rPr>
        <w:t xml:space="preserve"> possesses a permit from the North Carolina Department of Transportation (“DOT”) for the use and maintenance of the Sign pursuant to the North Carolina Outdoor Advertising Control Act (“OACA</w:t>
      </w:r>
      <w:proofErr w:type="gramStart"/>
      <w:r w:rsidR="00E00E00" w:rsidRPr="00992688">
        <w:rPr>
          <w:rFonts w:ascii="Book Antiqua" w:hAnsi="Book Antiqua"/>
          <w:sz w:val="23"/>
          <w:szCs w:val="23"/>
        </w:rPr>
        <w:t>”)(</w:t>
      </w:r>
      <w:proofErr w:type="gramEnd"/>
      <w:r w:rsidR="00E00E00" w:rsidRPr="00992688">
        <w:rPr>
          <w:rFonts w:ascii="Book Antiqua" w:hAnsi="Book Antiqua"/>
          <w:sz w:val="23"/>
          <w:szCs w:val="23"/>
        </w:rPr>
        <w:t xml:space="preserve">G.S. 136-126 </w:t>
      </w:r>
      <w:r w:rsidR="00E00E00" w:rsidRPr="00992688">
        <w:rPr>
          <w:rFonts w:ascii="Book Antiqua" w:hAnsi="Book Antiqua"/>
          <w:i/>
          <w:sz w:val="23"/>
          <w:szCs w:val="23"/>
        </w:rPr>
        <w:t>et seq.</w:t>
      </w:r>
      <w:r w:rsidR="00E00E00" w:rsidRPr="00992688">
        <w:rPr>
          <w:rFonts w:ascii="Book Antiqua" w:hAnsi="Book Antiqua"/>
          <w:sz w:val="23"/>
          <w:szCs w:val="23"/>
        </w:rPr>
        <w:t xml:space="preserve">) and DOT regulations. </w:t>
      </w:r>
    </w:p>
    <w:p w14:paraId="29BAD068" w14:textId="2A5B20DA" w:rsidR="00E00E00" w:rsidRPr="009364CA" w:rsidRDefault="00E00E00" w:rsidP="00E00E00">
      <w:pPr>
        <w:ind w:firstLine="720"/>
        <w:jc w:val="both"/>
        <w:rPr>
          <w:rFonts w:ascii="Book Antiqua" w:hAnsi="Book Antiqua"/>
          <w:sz w:val="23"/>
          <w:szCs w:val="23"/>
        </w:rPr>
      </w:pPr>
      <w:r>
        <w:rPr>
          <w:rFonts w:ascii="Book Antiqua" w:hAnsi="Book Antiqua"/>
          <w:sz w:val="23"/>
          <w:szCs w:val="23"/>
        </w:rPr>
        <w:t xml:space="preserve">Although </w:t>
      </w:r>
      <w:r w:rsidR="00CB7143">
        <w:rPr>
          <w:rFonts w:ascii="Book Antiqua" w:hAnsi="Book Antiqua"/>
          <w:sz w:val="23"/>
          <w:szCs w:val="23"/>
        </w:rPr>
        <w:t>Interstate</w:t>
      </w:r>
      <w:r>
        <w:rPr>
          <w:rFonts w:ascii="Book Antiqua" w:hAnsi="Book Antiqua"/>
          <w:sz w:val="23"/>
          <w:szCs w:val="23"/>
        </w:rPr>
        <w:t xml:space="preserve"> is willing to apply for a building permit to show compliance with State building code requirements, we believe that </w:t>
      </w:r>
      <w:r w:rsidR="00D65E88">
        <w:rPr>
          <w:rFonts w:ascii="Book Antiqua" w:hAnsi="Book Antiqua"/>
          <w:sz w:val="23"/>
          <w:szCs w:val="23"/>
        </w:rPr>
        <w:t>Harnett County</w:t>
      </w:r>
      <w:r>
        <w:rPr>
          <w:rFonts w:ascii="Book Antiqua" w:hAnsi="Book Antiqua"/>
          <w:sz w:val="23"/>
          <w:szCs w:val="23"/>
        </w:rPr>
        <w:t xml:space="preserve"> (“</w:t>
      </w:r>
      <w:r w:rsidR="00D65E88">
        <w:rPr>
          <w:rFonts w:ascii="Book Antiqua" w:hAnsi="Book Antiqua"/>
          <w:sz w:val="23"/>
          <w:szCs w:val="23"/>
        </w:rPr>
        <w:t>County</w:t>
      </w:r>
      <w:r>
        <w:rPr>
          <w:rFonts w:ascii="Book Antiqua" w:hAnsi="Book Antiqua"/>
          <w:sz w:val="23"/>
          <w:szCs w:val="23"/>
        </w:rPr>
        <w:t xml:space="preserve">”) cannot </w:t>
      </w:r>
      <w:r w:rsidR="00AA07C0">
        <w:rPr>
          <w:rFonts w:ascii="Book Antiqua" w:hAnsi="Book Antiqua"/>
          <w:sz w:val="23"/>
          <w:szCs w:val="23"/>
        </w:rPr>
        <w:t xml:space="preserve">otherwise </w:t>
      </w:r>
      <w:r>
        <w:rPr>
          <w:rFonts w:ascii="Book Antiqua" w:hAnsi="Book Antiqua"/>
          <w:sz w:val="23"/>
          <w:szCs w:val="23"/>
        </w:rPr>
        <w:t xml:space="preserve">“regulate” or “prohibit” the intended reconstruction.  </w:t>
      </w:r>
      <w:r w:rsidR="00C73461">
        <w:rPr>
          <w:rFonts w:ascii="Book Antiqua" w:hAnsi="Book Antiqua"/>
          <w:sz w:val="23"/>
          <w:szCs w:val="23"/>
        </w:rPr>
        <w:t xml:space="preserve">  Attached hereto is a set of engineered drawings showing </w:t>
      </w:r>
      <w:r w:rsidR="00CB7143">
        <w:rPr>
          <w:rFonts w:ascii="Book Antiqua" w:hAnsi="Book Antiqua"/>
          <w:sz w:val="23"/>
          <w:szCs w:val="23"/>
        </w:rPr>
        <w:t>Interstate</w:t>
      </w:r>
      <w:r w:rsidR="00C73461">
        <w:rPr>
          <w:rFonts w:ascii="Book Antiqua" w:hAnsi="Book Antiqua"/>
          <w:sz w:val="23"/>
          <w:szCs w:val="23"/>
        </w:rPr>
        <w:t>’s compliance with the building code.</w:t>
      </w:r>
    </w:p>
    <w:p w14:paraId="0722C2A2" w14:textId="630804DC" w:rsidR="00E00E00" w:rsidRPr="009364CA" w:rsidRDefault="00E00E00" w:rsidP="00E00E00">
      <w:pPr>
        <w:ind w:firstLine="720"/>
        <w:jc w:val="both"/>
        <w:rPr>
          <w:rFonts w:ascii="Book Antiqua" w:hAnsi="Book Antiqua"/>
          <w:sz w:val="23"/>
          <w:szCs w:val="23"/>
        </w:rPr>
      </w:pPr>
      <w:r w:rsidRPr="009364CA">
        <w:rPr>
          <w:rFonts w:ascii="Book Antiqua" w:hAnsi="Book Antiqua"/>
          <w:sz w:val="23"/>
          <w:szCs w:val="23"/>
        </w:rPr>
        <w:t>In 2013, the North Carolina General Assembly passed House Bill 74, entitled “AN ACT TO IMPROVE AND STREAMLINE THE REGULATORY PROCESS IN ORDER TO STIMULATE JOB CREATION, TO ELIMINATE UNNECESSARY REGULATION, TO MAKE VARIOUS OTHER STATUTORY CHANGES, AND TO AMEND CERTAIN ENVIRONMENTAL AND NATURAL RESOURCES LAWS.” (“HB 74”).  HB 74 is an extremely important new law that, as the above title indicates, stimulates job creation and eliminates unnecessary regulation in the field of outdoor advertising.    HB 74 is codi</w:t>
      </w:r>
      <w:r>
        <w:rPr>
          <w:rFonts w:ascii="Book Antiqua" w:hAnsi="Book Antiqua"/>
          <w:sz w:val="23"/>
          <w:szCs w:val="23"/>
        </w:rPr>
        <w:t xml:space="preserve">fied in North Carolina Gen. Stat. </w:t>
      </w:r>
      <w:r w:rsidRPr="009364CA">
        <w:rPr>
          <w:rFonts w:ascii="Book Antiqua" w:hAnsi="Book Antiqua"/>
          <w:sz w:val="23"/>
          <w:szCs w:val="23"/>
        </w:rPr>
        <w:t xml:space="preserve">§136-131.2 and provides that no municipality or county can “regulate or prohibit the repair or reconstruction of any outdoor advertising from which there is in effect a valid permit issued by the Department of Transportation.”  Obviously, the term “regulate” is very broad and would include any regulatory efforts by the </w:t>
      </w:r>
      <w:r w:rsidR="00D65E88">
        <w:rPr>
          <w:rFonts w:ascii="Book Antiqua" w:hAnsi="Book Antiqua"/>
          <w:sz w:val="23"/>
          <w:szCs w:val="23"/>
        </w:rPr>
        <w:t>County</w:t>
      </w:r>
      <w:r w:rsidRPr="009364CA">
        <w:rPr>
          <w:rFonts w:ascii="Book Antiqua" w:hAnsi="Book Antiqua"/>
          <w:sz w:val="23"/>
          <w:szCs w:val="23"/>
        </w:rPr>
        <w:t xml:space="preserve"> to impose its set of standards </w:t>
      </w:r>
      <w:r>
        <w:rPr>
          <w:rFonts w:ascii="Book Antiqua" w:hAnsi="Book Antiqua"/>
          <w:sz w:val="23"/>
          <w:szCs w:val="23"/>
        </w:rPr>
        <w:t>on the Billboard’s reconstruction</w:t>
      </w:r>
      <w:r w:rsidRPr="009364CA">
        <w:rPr>
          <w:rFonts w:ascii="Book Antiqua" w:hAnsi="Book Antiqua"/>
          <w:sz w:val="23"/>
          <w:szCs w:val="23"/>
        </w:rPr>
        <w:t xml:space="preserve">.  Moreover, the </w:t>
      </w:r>
      <w:r w:rsidRPr="009364CA">
        <w:rPr>
          <w:rFonts w:ascii="Book Antiqua" w:hAnsi="Book Antiqua"/>
          <w:sz w:val="23"/>
          <w:szCs w:val="23"/>
          <w:u w:val="single"/>
        </w:rPr>
        <w:t>only</w:t>
      </w:r>
      <w:r w:rsidRPr="009364CA">
        <w:rPr>
          <w:rFonts w:ascii="Book Antiqua" w:hAnsi="Book Antiqua"/>
          <w:sz w:val="23"/>
          <w:szCs w:val="23"/>
        </w:rPr>
        <w:t xml:space="preserve"> statutory limitation</w:t>
      </w:r>
      <w:r>
        <w:rPr>
          <w:rFonts w:ascii="Book Antiqua" w:hAnsi="Book Antiqua"/>
          <w:sz w:val="23"/>
          <w:szCs w:val="23"/>
        </w:rPr>
        <w:t xml:space="preserve"> in the new law</w:t>
      </w:r>
      <w:r w:rsidRPr="009364CA">
        <w:rPr>
          <w:rFonts w:ascii="Book Antiqua" w:hAnsi="Book Antiqua"/>
          <w:sz w:val="23"/>
          <w:szCs w:val="23"/>
        </w:rPr>
        <w:t xml:space="preserve"> is that the “square footage of the advertising surface” cannot be increased. The well-established rule of statut</w:t>
      </w:r>
      <w:r>
        <w:rPr>
          <w:rFonts w:ascii="Book Antiqua" w:hAnsi="Book Antiqua"/>
          <w:sz w:val="23"/>
          <w:szCs w:val="23"/>
        </w:rPr>
        <w:t>ory construction is that mentioning</w:t>
      </w:r>
      <w:r w:rsidRPr="009364CA">
        <w:rPr>
          <w:rFonts w:ascii="Book Antiqua" w:hAnsi="Book Antiqua"/>
          <w:sz w:val="23"/>
          <w:szCs w:val="23"/>
        </w:rPr>
        <w:t xml:space="preserve"> a specific exception implies the exclusion of others.  </w:t>
      </w:r>
      <w:r w:rsidRPr="009364CA">
        <w:rPr>
          <w:rFonts w:ascii="Book Antiqua" w:hAnsi="Book Antiqua"/>
          <w:i/>
          <w:sz w:val="23"/>
          <w:szCs w:val="23"/>
        </w:rPr>
        <w:t xml:space="preserve">Morrison v. Sears, Roebuck &amp; Co., </w:t>
      </w:r>
      <w:r w:rsidRPr="009364CA">
        <w:rPr>
          <w:rFonts w:ascii="Book Antiqua" w:hAnsi="Book Antiqua"/>
          <w:sz w:val="23"/>
          <w:szCs w:val="23"/>
        </w:rPr>
        <w:t xml:space="preserve">319 N.C. 298, 303, 354 S.E.2d 495, 498-499 (1987)(espousing the doctrine of </w:t>
      </w:r>
      <w:proofErr w:type="spellStart"/>
      <w:r w:rsidRPr="009364CA">
        <w:rPr>
          <w:rFonts w:ascii="Book Antiqua" w:hAnsi="Book Antiqua"/>
          <w:i/>
          <w:sz w:val="23"/>
          <w:szCs w:val="23"/>
        </w:rPr>
        <w:t>expressio</w:t>
      </w:r>
      <w:proofErr w:type="spellEnd"/>
      <w:r w:rsidRPr="009364CA">
        <w:rPr>
          <w:rFonts w:ascii="Book Antiqua" w:hAnsi="Book Antiqua"/>
          <w:i/>
          <w:sz w:val="23"/>
          <w:szCs w:val="23"/>
        </w:rPr>
        <w:t xml:space="preserve"> </w:t>
      </w:r>
      <w:proofErr w:type="spellStart"/>
      <w:r w:rsidRPr="009364CA">
        <w:rPr>
          <w:rFonts w:ascii="Book Antiqua" w:hAnsi="Book Antiqua"/>
          <w:i/>
          <w:sz w:val="23"/>
          <w:szCs w:val="23"/>
        </w:rPr>
        <w:t>unius</w:t>
      </w:r>
      <w:proofErr w:type="spellEnd"/>
      <w:r w:rsidRPr="009364CA">
        <w:rPr>
          <w:rFonts w:ascii="Book Antiqua" w:hAnsi="Book Antiqua"/>
          <w:i/>
          <w:sz w:val="23"/>
          <w:szCs w:val="23"/>
        </w:rPr>
        <w:t xml:space="preserve"> </w:t>
      </w:r>
      <w:proofErr w:type="spellStart"/>
      <w:r w:rsidRPr="009364CA">
        <w:rPr>
          <w:rFonts w:ascii="Book Antiqua" w:hAnsi="Book Antiqua"/>
          <w:i/>
          <w:sz w:val="23"/>
          <w:szCs w:val="23"/>
        </w:rPr>
        <w:t>est</w:t>
      </w:r>
      <w:proofErr w:type="spellEnd"/>
      <w:r w:rsidRPr="009364CA">
        <w:rPr>
          <w:rFonts w:ascii="Book Antiqua" w:hAnsi="Book Antiqua"/>
          <w:i/>
          <w:sz w:val="23"/>
          <w:szCs w:val="23"/>
        </w:rPr>
        <w:t xml:space="preserve"> exclusion </w:t>
      </w:r>
      <w:proofErr w:type="spellStart"/>
      <w:r w:rsidRPr="009364CA">
        <w:rPr>
          <w:rFonts w:ascii="Book Antiqua" w:hAnsi="Book Antiqua"/>
          <w:i/>
          <w:sz w:val="23"/>
          <w:szCs w:val="23"/>
        </w:rPr>
        <w:t>alterius</w:t>
      </w:r>
      <w:proofErr w:type="spellEnd"/>
      <w:r w:rsidRPr="009364CA">
        <w:rPr>
          <w:rFonts w:ascii="Book Antiqua" w:hAnsi="Book Antiqua"/>
          <w:sz w:val="23"/>
          <w:szCs w:val="23"/>
        </w:rPr>
        <w:t xml:space="preserve">); </w:t>
      </w:r>
      <w:r w:rsidRPr="009364CA">
        <w:rPr>
          <w:rFonts w:ascii="Book Antiqua" w:hAnsi="Book Antiqua"/>
          <w:i/>
          <w:sz w:val="23"/>
          <w:szCs w:val="23"/>
        </w:rPr>
        <w:t xml:space="preserve">Granville Farms, Inc. v. County of Granville, </w:t>
      </w:r>
      <w:r w:rsidRPr="009364CA">
        <w:rPr>
          <w:rFonts w:ascii="Book Antiqua" w:hAnsi="Book Antiqua"/>
          <w:sz w:val="23"/>
          <w:szCs w:val="23"/>
        </w:rPr>
        <w:t xml:space="preserve">170 N.C. App. 109, 114, 612 S.E.2d 156, 160 (2005).   Notably, there are no additional exceptions </w:t>
      </w:r>
      <w:r>
        <w:rPr>
          <w:rFonts w:ascii="Book Antiqua" w:hAnsi="Book Antiqua"/>
          <w:sz w:val="23"/>
          <w:szCs w:val="23"/>
        </w:rPr>
        <w:t xml:space="preserve">in the statute </w:t>
      </w:r>
      <w:r w:rsidRPr="009364CA">
        <w:rPr>
          <w:rFonts w:ascii="Book Antiqua" w:hAnsi="Book Antiqua"/>
          <w:sz w:val="23"/>
          <w:szCs w:val="23"/>
        </w:rPr>
        <w:t>addressing a sign’s conformity to local standards or mentioning development restrictions related to height, setback, etc.</w:t>
      </w:r>
    </w:p>
    <w:p w14:paraId="780B7675" w14:textId="2BA96873" w:rsidR="00E00E00" w:rsidRPr="009364CA" w:rsidRDefault="00E00E00" w:rsidP="00E00E00">
      <w:pPr>
        <w:ind w:firstLine="720"/>
        <w:jc w:val="both"/>
        <w:rPr>
          <w:rFonts w:ascii="Book Antiqua" w:hAnsi="Book Antiqua"/>
          <w:sz w:val="23"/>
          <w:szCs w:val="23"/>
        </w:rPr>
      </w:pPr>
      <w:r w:rsidRPr="009364CA">
        <w:rPr>
          <w:rFonts w:ascii="Book Antiqua" w:hAnsi="Book Antiqua"/>
          <w:sz w:val="23"/>
          <w:szCs w:val="23"/>
        </w:rPr>
        <w:t>The clear intent of HB 74 is to streamline the regulation of existing outdoor advertising signs along the interstates and primary highways of this State.  Modernization</w:t>
      </w:r>
      <w:r>
        <w:rPr>
          <w:rFonts w:ascii="Book Antiqua" w:hAnsi="Book Antiqua"/>
          <w:sz w:val="23"/>
          <w:szCs w:val="23"/>
        </w:rPr>
        <w:t xml:space="preserve"> </w:t>
      </w:r>
      <w:r w:rsidR="00AA07C0">
        <w:rPr>
          <w:rFonts w:ascii="Book Antiqua" w:hAnsi="Book Antiqua"/>
          <w:sz w:val="23"/>
          <w:szCs w:val="23"/>
        </w:rPr>
        <w:t xml:space="preserve">or reconstruction </w:t>
      </w:r>
      <w:r w:rsidRPr="009364CA">
        <w:rPr>
          <w:rFonts w:ascii="Book Antiqua" w:hAnsi="Book Antiqua"/>
          <w:sz w:val="23"/>
          <w:szCs w:val="23"/>
        </w:rPr>
        <w:t xml:space="preserve">efforts are not to be measured by or judged according to local standards, except to the extent of </w:t>
      </w:r>
      <w:r>
        <w:rPr>
          <w:rFonts w:ascii="Book Antiqua" w:hAnsi="Book Antiqua"/>
          <w:sz w:val="23"/>
          <w:szCs w:val="23"/>
        </w:rPr>
        <w:t xml:space="preserve">increases in </w:t>
      </w:r>
      <w:r w:rsidRPr="009364CA">
        <w:rPr>
          <w:rFonts w:ascii="Book Antiqua" w:hAnsi="Book Antiqua"/>
          <w:sz w:val="23"/>
          <w:szCs w:val="23"/>
        </w:rPr>
        <w:t>adve</w:t>
      </w:r>
      <w:r>
        <w:rPr>
          <w:rFonts w:ascii="Book Antiqua" w:hAnsi="Book Antiqua"/>
          <w:sz w:val="23"/>
          <w:szCs w:val="23"/>
        </w:rPr>
        <w:t>rtising square footage</w:t>
      </w:r>
      <w:r w:rsidRPr="009364CA">
        <w:rPr>
          <w:rFonts w:ascii="Book Antiqua" w:hAnsi="Book Antiqua"/>
          <w:sz w:val="23"/>
          <w:szCs w:val="23"/>
        </w:rPr>
        <w:t xml:space="preserve">.   </w:t>
      </w:r>
      <w:r>
        <w:rPr>
          <w:rFonts w:ascii="Book Antiqua" w:hAnsi="Book Antiqua"/>
          <w:sz w:val="23"/>
          <w:szCs w:val="23"/>
        </w:rPr>
        <w:t>In the case at hand, there is no planned increase in advertising square footage.</w:t>
      </w:r>
    </w:p>
    <w:p w14:paraId="3E36C362" w14:textId="77777777" w:rsidR="00E00E00" w:rsidRPr="009364CA" w:rsidRDefault="00E00E00" w:rsidP="00E00E00">
      <w:pPr>
        <w:ind w:firstLine="720"/>
        <w:jc w:val="both"/>
        <w:rPr>
          <w:rFonts w:ascii="Book Antiqua" w:hAnsi="Book Antiqua"/>
          <w:sz w:val="23"/>
          <w:szCs w:val="23"/>
        </w:rPr>
      </w:pPr>
      <w:r>
        <w:rPr>
          <w:rFonts w:ascii="Book Antiqua" w:hAnsi="Book Antiqua"/>
          <w:sz w:val="23"/>
          <w:szCs w:val="23"/>
        </w:rPr>
        <w:t xml:space="preserve">In addition to HB 74, N.C. Gen. Stat. §136-131.1 provides that </w:t>
      </w:r>
      <w:r w:rsidRPr="009364CA">
        <w:rPr>
          <w:rFonts w:ascii="Book Antiqua" w:hAnsi="Book Antiqua"/>
          <w:sz w:val="23"/>
          <w:szCs w:val="23"/>
        </w:rPr>
        <w:t xml:space="preserve">a local government, in the exercise of its regulatory authority, cannot cause the removal of outdoor advertising for which there is in effect a DOT permit.   </w:t>
      </w:r>
    </w:p>
    <w:p w14:paraId="743B8ED1" w14:textId="0B22B760" w:rsidR="00AA07C0" w:rsidRPr="00992688" w:rsidRDefault="00AA07C0" w:rsidP="00AA07C0">
      <w:pPr>
        <w:ind w:firstLine="720"/>
        <w:jc w:val="both"/>
        <w:rPr>
          <w:rFonts w:ascii="Book Antiqua" w:hAnsi="Book Antiqua"/>
          <w:sz w:val="23"/>
          <w:szCs w:val="23"/>
        </w:rPr>
      </w:pPr>
      <w:r w:rsidRPr="00992688">
        <w:rPr>
          <w:rFonts w:ascii="Book Antiqua" w:hAnsi="Book Antiqua"/>
          <w:sz w:val="23"/>
          <w:szCs w:val="23"/>
        </w:rPr>
        <w:t xml:space="preserve">The above two statutes found within the North Carolina Outdoor Advertising Control Act are part of the law of “preemption” in this State.  Meaning, State law trumps local law in </w:t>
      </w:r>
      <w:r w:rsidRPr="00992688">
        <w:rPr>
          <w:rFonts w:ascii="Book Antiqua" w:hAnsi="Book Antiqua"/>
          <w:sz w:val="23"/>
          <w:szCs w:val="23"/>
        </w:rPr>
        <w:lastRenderedPageBreak/>
        <w:t xml:space="preserve">certain areas.  HB 74 built on existing case law dealing with preemption as reflected in the case of </w:t>
      </w:r>
      <w:r w:rsidRPr="00992688">
        <w:rPr>
          <w:rFonts w:ascii="Book Antiqua" w:hAnsi="Book Antiqua"/>
          <w:i/>
          <w:sz w:val="23"/>
          <w:szCs w:val="23"/>
        </w:rPr>
        <w:t xml:space="preserve">Lamar v. Stanly County, </w:t>
      </w:r>
      <w:r w:rsidRPr="00992688">
        <w:rPr>
          <w:rFonts w:ascii="Book Antiqua" w:hAnsi="Book Antiqua"/>
          <w:sz w:val="23"/>
          <w:szCs w:val="23"/>
        </w:rPr>
        <w:t xml:space="preserve">186 N.C. App. 44 (2007), </w:t>
      </w:r>
      <w:r w:rsidRPr="00992688">
        <w:rPr>
          <w:rFonts w:ascii="Book Antiqua" w:hAnsi="Book Antiqua"/>
          <w:i/>
          <w:sz w:val="23"/>
          <w:szCs w:val="23"/>
        </w:rPr>
        <w:t>affirmed per curiam</w:t>
      </w:r>
      <w:r>
        <w:rPr>
          <w:rFonts w:ascii="Book Antiqua" w:hAnsi="Book Antiqua"/>
          <w:sz w:val="23"/>
          <w:szCs w:val="23"/>
        </w:rPr>
        <w:t xml:space="preserve">, 362 N.C. 670 (2008).   </w:t>
      </w:r>
    </w:p>
    <w:p w14:paraId="2BE2EB94" w14:textId="77777777" w:rsidR="00AA07C0" w:rsidRPr="00992688" w:rsidRDefault="00AA07C0" w:rsidP="00AA07C0">
      <w:pPr>
        <w:jc w:val="both"/>
        <w:rPr>
          <w:rFonts w:ascii="Book Antiqua" w:hAnsi="Book Antiqua"/>
          <w:sz w:val="23"/>
          <w:szCs w:val="23"/>
        </w:rPr>
      </w:pPr>
      <w:r w:rsidRPr="00992688">
        <w:rPr>
          <w:rFonts w:ascii="Book Antiqua" w:hAnsi="Book Antiqua"/>
          <w:sz w:val="23"/>
          <w:szCs w:val="23"/>
        </w:rPr>
        <w:tab/>
        <w:t xml:space="preserve">The </w:t>
      </w:r>
      <w:r w:rsidRPr="00992688">
        <w:rPr>
          <w:rFonts w:ascii="Book Antiqua" w:hAnsi="Book Antiqua"/>
          <w:i/>
          <w:sz w:val="23"/>
          <w:szCs w:val="23"/>
        </w:rPr>
        <w:t xml:space="preserve">Lamar v. Stanly County </w:t>
      </w:r>
      <w:r w:rsidRPr="00992688">
        <w:rPr>
          <w:rFonts w:ascii="Book Antiqua" w:hAnsi="Book Antiqua"/>
          <w:sz w:val="23"/>
          <w:szCs w:val="23"/>
        </w:rPr>
        <w:t xml:space="preserve">case involved the relocation of a DOT-permitted billboard caused by a highway widening project.  Lamar moved a sign deemed nonconforming to County standards off the new State right of way.  The sign was moved within the same “site/location”, being 1/100 mile, as defined by DOT regulations and such relocation was permitted by State law. </w:t>
      </w:r>
      <w:r w:rsidRPr="00992688">
        <w:rPr>
          <w:rFonts w:ascii="Book Antiqua" w:hAnsi="Book Antiqua"/>
          <w:i/>
          <w:sz w:val="23"/>
          <w:szCs w:val="23"/>
        </w:rPr>
        <w:t>See</w:t>
      </w:r>
      <w:r w:rsidRPr="00992688">
        <w:rPr>
          <w:rFonts w:ascii="Book Antiqua" w:hAnsi="Book Antiqua"/>
          <w:sz w:val="23"/>
          <w:szCs w:val="23"/>
        </w:rPr>
        <w:t xml:space="preserve"> 19A N.C.A.C. 2E. 0201(27); 19A N.C.A.C. 2E .0210.  After this happened, Stanly County claimed that since its regulations prohibited the moving of a sign nonconforming to local standards, Lamar lost its “grandfathering” protections when it relocated its billboard.  More than four years of litigation ensued.  Ultimately, the </w:t>
      </w:r>
      <w:r>
        <w:rPr>
          <w:rFonts w:ascii="Book Antiqua" w:hAnsi="Book Antiqua"/>
          <w:sz w:val="23"/>
          <w:szCs w:val="23"/>
        </w:rPr>
        <w:t>North Carolina Supreme Court</w:t>
      </w:r>
      <w:r w:rsidRPr="00992688">
        <w:rPr>
          <w:rFonts w:ascii="Book Antiqua" w:hAnsi="Book Antiqua"/>
          <w:sz w:val="23"/>
          <w:szCs w:val="23"/>
        </w:rPr>
        <w:t xml:space="preserve"> decided that Stanly County regulations, prohibiting the moving of the disputed sign in compliance with DOT regulations, were not enforceable for being in conflict with State law that permitted such activity.</w:t>
      </w:r>
    </w:p>
    <w:p w14:paraId="76A6129F" w14:textId="77777777" w:rsidR="00AA07C0" w:rsidRPr="00992688" w:rsidRDefault="00AA07C0" w:rsidP="00AA07C0">
      <w:pPr>
        <w:jc w:val="both"/>
        <w:rPr>
          <w:rFonts w:ascii="Book Antiqua" w:hAnsi="Book Antiqua"/>
          <w:sz w:val="23"/>
          <w:szCs w:val="23"/>
        </w:rPr>
      </w:pPr>
      <w:r w:rsidRPr="00992688">
        <w:rPr>
          <w:rFonts w:ascii="Book Antiqua" w:hAnsi="Book Antiqua"/>
          <w:sz w:val="23"/>
          <w:szCs w:val="23"/>
        </w:rPr>
        <w:tab/>
        <w:t xml:space="preserve">The </w:t>
      </w:r>
      <w:r w:rsidRPr="00992688">
        <w:rPr>
          <w:rFonts w:ascii="Book Antiqua" w:hAnsi="Book Antiqua"/>
          <w:i/>
          <w:sz w:val="23"/>
          <w:szCs w:val="23"/>
        </w:rPr>
        <w:t xml:space="preserve">Lamar v. Stanly County </w:t>
      </w:r>
      <w:r w:rsidRPr="00992688">
        <w:rPr>
          <w:rFonts w:ascii="Book Antiqua" w:hAnsi="Book Antiqua"/>
          <w:sz w:val="23"/>
          <w:szCs w:val="23"/>
        </w:rPr>
        <w:t xml:space="preserve">case referred to N.C. Gen. Stat. §136-131.1, which statute, again, clearly states that local laws cannot be used to “cause the removal” of a DOT-permitted billboard without the payment of just compensation.      </w:t>
      </w:r>
    </w:p>
    <w:p w14:paraId="20CC1BE5" w14:textId="567B3131" w:rsidR="00AA07C0" w:rsidRDefault="00AA07C0" w:rsidP="00AA07C0">
      <w:pPr>
        <w:jc w:val="both"/>
        <w:rPr>
          <w:rFonts w:ascii="Book Antiqua" w:hAnsi="Book Antiqua"/>
          <w:sz w:val="23"/>
          <w:szCs w:val="23"/>
        </w:rPr>
      </w:pPr>
      <w:r w:rsidRPr="00992688">
        <w:rPr>
          <w:rFonts w:ascii="Book Antiqua" w:hAnsi="Book Antiqua"/>
          <w:sz w:val="23"/>
          <w:szCs w:val="23"/>
        </w:rPr>
        <w:tab/>
        <w:t xml:space="preserve">As provided above, the </w:t>
      </w:r>
      <w:r w:rsidR="00D65E88">
        <w:rPr>
          <w:rFonts w:ascii="Book Antiqua" w:hAnsi="Book Antiqua"/>
          <w:sz w:val="23"/>
          <w:szCs w:val="23"/>
        </w:rPr>
        <w:t>County’s</w:t>
      </w:r>
      <w:r w:rsidRPr="00992688">
        <w:rPr>
          <w:rFonts w:ascii="Book Antiqua" w:hAnsi="Book Antiqua"/>
          <w:sz w:val="23"/>
          <w:szCs w:val="23"/>
        </w:rPr>
        <w:t xml:space="preserve"> regulations are preempted to the extent that they purport to regulate or prohibit the recons</w:t>
      </w:r>
      <w:r>
        <w:rPr>
          <w:rFonts w:ascii="Book Antiqua" w:hAnsi="Book Antiqua"/>
          <w:sz w:val="23"/>
          <w:szCs w:val="23"/>
        </w:rPr>
        <w:t>truction of the Sign</w:t>
      </w:r>
      <w:r w:rsidRPr="00992688">
        <w:rPr>
          <w:rFonts w:ascii="Book Antiqua" w:hAnsi="Book Antiqua"/>
          <w:sz w:val="23"/>
          <w:szCs w:val="23"/>
        </w:rPr>
        <w:t xml:space="preserve">.  </w:t>
      </w:r>
      <w:r>
        <w:rPr>
          <w:rFonts w:ascii="Book Antiqua" w:hAnsi="Book Antiqua"/>
          <w:sz w:val="23"/>
          <w:szCs w:val="23"/>
        </w:rPr>
        <w:t xml:space="preserve">In this case, the Sign as reconstructed is staying within the same “site/location” as defined by DOT regulations. </w:t>
      </w:r>
    </w:p>
    <w:p w14:paraId="29FB46F4" w14:textId="6742C538" w:rsidR="00E00E00" w:rsidRPr="009364CA" w:rsidRDefault="00E00E00" w:rsidP="00E00E00">
      <w:pPr>
        <w:ind w:firstLine="720"/>
        <w:jc w:val="both"/>
        <w:rPr>
          <w:rFonts w:ascii="Book Antiqua" w:hAnsi="Book Antiqua"/>
          <w:color w:val="333333"/>
          <w:sz w:val="23"/>
          <w:szCs w:val="23"/>
        </w:rPr>
      </w:pPr>
      <w:r>
        <w:rPr>
          <w:rFonts w:ascii="Book Antiqua" w:hAnsi="Book Antiqua"/>
          <w:color w:val="333333"/>
          <w:sz w:val="23"/>
          <w:szCs w:val="23"/>
        </w:rPr>
        <w:t xml:space="preserve">Without waiving any of its rights, </w:t>
      </w:r>
      <w:r w:rsidR="00CB7143">
        <w:rPr>
          <w:rFonts w:ascii="Book Antiqua" w:hAnsi="Book Antiqua"/>
          <w:color w:val="333333"/>
          <w:sz w:val="23"/>
          <w:szCs w:val="23"/>
        </w:rPr>
        <w:t>Interstate</w:t>
      </w:r>
      <w:r>
        <w:rPr>
          <w:rFonts w:ascii="Book Antiqua" w:hAnsi="Book Antiqua"/>
          <w:color w:val="333333"/>
          <w:sz w:val="23"/>
          <w:szCs w:val="23"/>
        </w:rPr>
        <w:t xml:space="preserve"> is willing to </w:t>
      </w:r>
      <w:r w:rsidR="00AA07C0">
        <w:rPr>
          <w:rFonts w:ascii="Book Antiqua" w:hAnsi="Book Antiqua"/>
          <w:color w:val="333333"/>
          <w:sz w:val="23"/>
          <w:szCs w:val="23"/>
        </w:rPr>
        <w:t xml:space="preserve">fill out any forms that you may request </w:t>
      </w:r>
      <w:proofErr w:type="gramStart"/>
      <w:r>
        <w:rPr>
          <w:rFonts w:ascii="Book Antiqua" w:hAnsi="Book Antiqua"/>
          <w:color w:val="333333"/>
          <w:sz w:val="23"/>
          <w:szCs w:val="23"/>
        </w:rPr>
        <w:t>as a means to</w:t>
      </w:r>
      <w:proofErr w:type="gramEnd"/>
      <w:r>
        <w:rPr>
          <w:rFonts w:ascii="Book Antiqua" w:hAnsi="Book Antiqua"/>
          <w:color w:val="333333"/>
          <w:sz w:val="23"/>
          <w:szCs w:val="23"/>
        </w:rPr>
        <w:t xml:space="preserve"> provide the </w:t>
      </w:r>
      <w:r w:rsidR="00D65E88">
        <w:rPr>
          <w:rFonts w:ascii="Book Antiqua" w:hAnsi="Book Antiqua"/>
          <w:color w:val="333333"/>
          <w:sz w:val="23"/>
          <w:szCs w:val="23"/>
        </w:rPr>
        <w:t>County</w:t>
      </w:r>
      <w:r>
        <w:rPr>
          <w:rFonts w:ascii="Book Antiqua" w:hAnsi="Book Antiqua"/>
          <w:color w:val="333333"/>
          <w:sz w:val="23"/>
          <w:szCs w:val="23"/>
        </w:rPr>
        <w:t xml:space="preserve"> with information to update its records and to show compliance with the State building code.  At most, we believe that only a building permit may be required for the work in question, which standards, of course, are very technical in nature (even that permit may be considered an act of regulation under HB 74).  Compliance with </w:t>
      </w:r>
      <w:r w:rsidR="00D65E88">
        <w:rPr>
          <w:rFonts w:ascii="Book Antiqua" w:hAnsi="Book Antiqua"/>
          <w:color w:val="333333"/>
          <w:sz w:val="23"/>
          <w:szCs w:val="23"/>
        </w:rPr>
        <w:t>County</w:t>
      </w:r>
      <w:r>
        <w:rPr>
          <w:rFonts w:ascii="Book Antiqua" w:hAnsi="Book Antiqua"/>
          <w:color w:val="333333"/>
          <w:sz w:val="23"/>
          <w:szCs w:val="23"/>
        </w:rPr>
        <w:t xml:space="preserve"> zoning regulations, including obtaining a “sign permit”</w:t>
      </w:r>
      <w:r w:rsidR="006E124F">
        <w:rPr>
          <w:rFonts w:ascii="Book Antiqua" w:hAnsi="Book Antiqua"/>
          <w:color w:val="333333"/>
          <w:sz w:val="23"/>
          <w:szCs w:val="23"/>
        </w:rPr>
        <w:t xml:space="preserve"> or “zoning permit”</w:t>
      </w:r>
      <w:r>
        <w:rPr>
          <w:rFonts w:ascii="Book Antiqua" w:hAnsi="Book Antiqua"/>
          <w:color w:val="333333"/>
          <w:sz w:val="23"/>
          <w:szCs w:val="23"/>
        </w:rPr>
        <w:t xml:space="preserve"> that is different than a building permit, is no longer applicable for the </w:t>
      </w:r>
      <w:r w:rsidR="00C73461">
        <w:rPr>
          <w:rFonts w:ascii="Book Antiqua" w:hAnsi="Book Antiqua"/>
          <w:color w:val="333333"/>
          <w:sz w:val="23"/>
          <w:szCs w:val="23"/>
        </w:rPr>
        <w:t>billboard</w:t>
      </w:r>
      <w:r>
        <w:rPr>
          <w:rFonts w:ascii="Book Antiqua" w:hAnsi="Book Antiqua"/>
          <w:color w:val="333333"/>
          <w:sz w:val="23"/>
          <w:szCs w:val="23"/>
        </w:rPr>
        <w:t>’s reconstruction.</w:t>
      </w:r>
      <w:r w:rsidR="00AA07C0">
        <w:rPr>
          <w:rFonts w:ascii="Book Antiqua" w:hAnsi="Book Antiqua"/>
          <w:color w:val="333333"/>
          <w:sz w:val="23"/>
          <w:szCs w:val="23"/>
        </w:rPr>
        <w:t xml:space="preserve">  Moreover, we will be seeking to reestablish lights on the Sign as reconstructed.  Pursuant to N.C. Gen. Stat. </w:t>
      </w:r>
      <w:r w:rsidR="006E124F">
        <w:rPr>
          <w:rFonts w:ascii="Book Antiqua" w:hAnsi="Book Antiqua"/>
          <w:color w:val="333333"/>
          <w:sz w:val="23"/>
          <w:szCs w:val="23"/>
        </w:rPr>
        <w:t>§</w:t>
      </w:r>
      <w:r w:rsidR="00AA07C0">
        <w:rPr>
          <w:rFonts w:ascii="Book Antiqua" w:hAnsi="Book Antiqua"/>
          <w:color w:val="333333"/>
          <w:sz w:val="23"/>
          <w:szCs w:val="23"/>
        </w:rPr>
        <w:t xml:space="preserve">136-133(c), </w:t>
      </w:r>
      <w:r w:rsidR="00C73461">
        <w:rPr>
          <w:rFonts w:ascii="Book Antiqua" w:hAnsi="Book Antiqua"/>
          <w:color w:val="333333"/>
          <w:sz w:val="23"/>
          <w:szCs w:val="23"/>
        </w:rPr>
        <w:t xml:space="preserve">a </w:t>
      </w:r>
      <w:r w:rsidR="00D65E88">
        <w:rPr>
          <w:rFonts w:ascii="Book Antiqua" w:hAnsi="Book Antiqua"/>
          <w:color w:val="333333"/>
          <w:sz w:val="23"/>
          <w:szCs w:val="23"/>
        </w:rPr>
        <w:t>County</w:t>
      </w:r>
      <w:r w:rsidR="00C73461">
        <w:rPr>
          <w:rFonts w:ascii="Book Antiqua" w:hAnsi="Book Antiqua"/>
          <w:color w:val="333333"/>
          <w:sz w:val="23"/>
          <w:szCs w:val="23"/>
        </w:rPr>
        <w:t xml:space="preserve"> cannot deny an electrical permit for a billboard so long as the sign meets</w:t>
      </w:r>
      <w:r w:rsidR="00AA07C0">
        <w:rPr>
          <w:rFonts w:ascii="Book Antiqua" w:hAnsi="Book Antiqua"/>
          <w:color w:val="333333"/>
          <w:sz w:val="23"/>
          <w:szCs w:val="23"/>
        </w:rPr>
        <w:t xml:space="preserve"> technical utility standards. </w:t>
      </w:r>
    </w:p>
    <w:p w14:paraId="7F8B349E" w14:textId="3924D17A" w:rsidR="00E00E00" w:rsidRPr="009364CA" w:rsidRDefault="00E00E00" w:rsidP="00E00E00">
      <w:pPr>
        <w:ind w:firstLine="720"/>
        <w:jc w:val="both"/>
        <w:rPr>
          <w:rFonts w:ascii="Book Antiqua" w:hAnsi="Book Antiqua"/>
          <w:sz w:val="23"/>
          <w:szCs w:val="23"/>
        </w:rPr>
      </w:pPr>
      <w:r>
        <w:rPr>
          <w:rFonts w:ascii="Book Antiqua" w:hAnsi="Book Antiqua"/>
          <w:sz w:val="23"/>
          <w:szCs w:val="23"/>
        </w:rPr>
        <w:t xml:space="preserve">If you have any questions, please contact me immediately.  </w:t>
      </w:r>
      <w:r w:rsidR="00C73461">
        <w:rPr>
          <w:rFonts w:ascii="Book Antiqua" w:hAnsi="Book Antiqua"/>
          <w:sz w:val="23"/>
          <w:szCs w:val="23"/>
        </w:rPr>
        <w:t xml:space="preserve">If you disagree in any material way with the information contained in this letter, please have your attorney contact our attorney Craig Justus with the Van Winkle Law Firm at (828) 258-2991.  </w:t>
      </w:r>
      <w:r>
        <w:rPr>
          <w:rFonts w:ascii="Book Antiqua" w:hAnsi="Book Antiqua"/>
          <w:sz w:val="23"/>
          <w:szCs w:val="23"/>
        </w:rPr>
        <w:t>Thank you for your cooperation.</w:t>
      </w:r>
    </w:p>
    <w:p w14:paraId="4B38FFAC" w14:textId="77777777" w:rsidR="00E00E00" w:rsidRPr="00992688" w:rsidRDefault="00E00E00" w:rsidP="00E00E00">
      <w:pPr>
        <w:ind w:firstLine="720"/>
        <w:jc w:val="both"/>
        <w:rPr>
          <w:rFonts w:ascii="Book Antiqua" w:hAnsi="Book Antiqua"/>
          <w:sz w:val="23"/>
          <w:szCs w:val="23"/>
        </w:rPr>
      </w:pPr>
    </w:p>
    <w:p w14:paraId="459D491D" w14:textId="419A7AA4" w:rsidR="00E00E00" w:rsidRDefault="00E00E00" w:rsidP="00871853">
      <w:pPr>
        <w:jc w:val="both"/>
        <w:rPr>
          <w:rFonts w:ascii="Book Antiqua" w:hAnsi="Book Antiqua"/>
          <w:color w:val="333333"/>
        </w:rPr>
      </w:pPr>
    </w:p>
    <w:p w14:paraId="38A6EE32" w14:textId="28D1B5CF" w:rsidR="00871853" w:rsidRPr="00871853" w:rsidRDefault="00871853" w:rsidP="00871853">
      <w:pPr>
        <w:spacing w:after="0" w:line="180" w:lineRule="exact"/>
        <w:rPr>
          <w:rFonts w:ascii="Book Antiqua" w:hAnsi="Book Antiqua"/>
          <w:color w:val="333333"/>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A4D57">
        <w:rPr>
          <w:rFonts w:ascii="Arial" w:hAnsi="Arial" w:cs="Arial"/>
          <w:sz w:val="16"/>
        </w:rPr>
        <w:t>4817-0156-6922, v. 1</w:t>
      </w:r>
      <w:r>
        <w:rPr>
          <w:rFonts w:ascii="Arial" w:hAnsi="Arial" w:cs="Arial"/>
          <w:sz w:val="16"/>
        </w:rPr>
        <w:fldChar w:fldCharType="end"/>
      </w:r>
    </w:p>
    <w:sectPr w:rsidR="00871853" w:rsidRPr="008718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DF4F" w14:textId="77777777" w:rsidR="0056147B" w:rsidRDefault="0056147B" w:rsidP="00E00E00">
      <w:pPr>
        <w:spacing w:after="0" w:line="240" w:lineRule="auto"/>
      </w:pPr>
      <w:r>
        <w:separator/>
      </w:r>
    </w:p>
  </w:endnote>
  <w:endnote w:type="continuationSeparator" w:id="0">
    <w:p w14:paraId="459584F1" w14:textId="77777777" w:rsidR="0056147B" w:rsidRDefault="0056147B" w:rsidP="00E0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297A" w14:textId="77777777" w:rsidR="00871853" w:rsidRDefault="00871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5C66" w14:textId="77777777" w:rsidR="00871853" w:rsidRDefault="00871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CE62" w14:textId="77777777" w:rsidR="00871853" w:rsidRDefault="0087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FFF7" w14:textId="77777777" w:rsidR="0056147B" w:rsidRDefault="0056147B" w:rsidP="00E00E00">
      <w:pPr>
        <w:spacing w:after="0" w:line="240" w:lineRule="auto"/>
      </w:pPr>
      <w:r>
        <w:separator/>
      </w:r>
    </w:p>
  </w:footnote>
  <w:footnote w:type="continuationSeparator" w:id="0">
    <w:p w14:paraId="2EFA4586" w14:textId="77777777" w:rsidR="0056147B" w:rsidRDefault="0056147B" w:rsidP="00E0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84D5" w14:textId="77777777" w:rsidR="00871853" w:rsidRDefault="00871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C864" w14:textId="77777777" w:rsidR="00871853" w:rsidRDefault="0087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0BB0" w14:textId="77777777" w:rsidR="00871853" w:rsidRDefault="00871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17-0156-6922, v. 1"/>
    <w:docVar w:name="ndGeneratedStampLocation" w:val="LastPage"/>
  </w:docVars>
  <w:rsids>
    <w:rsidRoot w:val="00E00E00"/>
    <w:rsid w:val="00003A3B"/>
    <w:rsid w:val="000D769C"/>
    <w:rsid w:val="001C6A31"/>
    <w:rsid w:val="002913BC"/>
    <w:rsid w:val="002E087C"/>
    <w:rsid w:val="003142DD"/>
    <w:rsid w:val="0056147B"/>
    <w:rsid w:val="006E124F"/>
    <w:rsid w:val="00715C02"/>
    <w:rsid w:val="00871853"/>
    <w:rsid w:val="009A4D57"/>
    <w:rsid w:val="009B5BBC"/>
    <w:rsid w:val="00AA07C0"/>
    <w:rsid w:val="00AF4144"/>
    <w:rsid w:val="00C73461"/>
    <w:rsid w:val="00CB7143"/>
    <w:rsid w:val="00D16372"/>
    <w:rsid w:val="00D65E88"/>
    <w:rsid w:val="00E00E00"/>
    <w:rsid w:val="00F7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3FD2"/>
  <w15:chartTrackingRefBased/>
  <w15:docId w15:val="{D5A946A6-5309-4EBA-B561-13F61D0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00E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00E00"/>
    <w:rPr>
      <w:rFonts w:ascii="Times New Roman" w:eastAsia="Times New Roman" w:hAnsi="Times New Roman" w:cs="Times New Roman"/>
      <w:sz w:val="20"/>
      <w:szCs w:val="20"/>
    </w:rPr>
  </w:style>
  <w:style w:type="character" w:styleId="FootnoteReference">
    <w:name w:val="footnote reference"/>
    <w:rsid w:val="00E00E00"/>
    <w:rPr>
      <w:vertAlign w:val="superscript"/>
    </w:rPr>
  </w:style>
  <w:style w:type="paragraph" w:styleId="Header">
    <w:name w:val="header"/>
    <w:basedOn w:val="Normal"/>
    <w:link w:val="HeaderChar"/>
    <w:uiPriority w:val="99"/>
    <w:unhideWhenUsed/>
    <w:rsid w:val="00871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853"/>
  </w:style>
  <w:style w:type="paragraph" w:styleId="Footer">
    <w:name w:val="footer"/>
    <w:basedOn w:val="Normal"/>
    <w:link w:val="FooterChar"/>
    <w:uiPriority w:val="99"/>
    <w:unhideWhenUsed/>
    <w:rsid w:val="0087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Justus</dc:creator>
  <cp:keywords/>
  <dc:description/>
  <cp:lastModifiedBy>kevinmcmulleninterstate@outlook.com</cp:lastModifiedBy>
  <cp:revision>3</cp:revision>
  <dcterms:created xsi:type="dcterms:W3CDTF">2020-09-08T18:14:00Z</dcterms:created>
  <dcterms:modified xsi:type="dcterms:W3CDTF">2023-04-13T20:13:00Z</dcterms:modified>
</cp:coreProperties>
</file>